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四川文理学院2024届毕业生专业及人数列表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64150" cy="5230495"/>
            <wp:effectExtent l="0" t="0" r="6350" b="1905"/>
            <wp:docPr id="2" name="图片 1" descr="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523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256530" cy="5227320"/>
            <wp:effectExtent l="0" t="0" r="127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ZDBkNDU5ZGZlMmUzN2ViNDBhZGY4YzgzMmU3NDQifQ=="/>
  </w:docVars>
  <w:rsids>
    <w:rsidRoot w:val="29DA0B6D"/>
    <w:rsid w:val="29DA0B6D"/>
    <w:rsid w:val="3E0047CB"/>
    <w:rsid w:val="4E3246A1"/>
    <w:rsid w:val="53B92A73"/>
    <w:rsid w:val="5AC406B4"/>
    <w:rsid w:val="73F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2023-11-02T09:05:00Z</dcterms:created>
  <dc:creator>outburst</dc:creator>
  <cp:lastModifiedBy>vâng lời mẹ</cp:lastModifiedBy>
  <dcterms:modified xsi:type="dcterms:W3CDTF">2023-11-08T02:53:15Z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48C4294CFF4D419BA52025DC9B6D8886_13</vt:lpwstr>
  </property>
</Properties>
</file>